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55" w:rsidRPr="003B7B55" w:rsidRDefault="003B7B55" w:rsidP="003B7B55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</w:pPr>
      <w:bookmarkStart w:id="0" w:name="_GoBack"/>
      <w:bookmarkEnd w:id="0"/>
      <w:r w:rsidRPr="003B7B5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val="uk-UA" w:eastAsia="ru-RU"/>
        </w:rPr>
        <w:t>Аналіз регуляторного впливу проекту рішення  </w:t>
      </w:r>
      <w:proofErr w:type="spellStart"/>
      <w:r w:rsidRPr="003B7B5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val="uk-UA" w:eastAsia="ru-RU"/>
        </w:rPr>
        <w:t>Сватівської</w:t>
      </w:r>
      <w:proofErr w:type="spellEnd"/>
      <w:r w:rsidRPr="003B7B5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val="uk-UA" w:eastAsia="ru-RU"/>
        </w:rPr>
        <w:t xml:space="preserve"> міської ради</w:t>
      </w:r>
    </w:p>
    <w:p w:rsidR="003B7B55" w:rsidRPr="003B7B55" w:rsidRDefault="003B7B55" w:rsidP="003B7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3B7B5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uk-UA" w:eastAsia="ru-RU"/>
        </w:rPr>
        <w:t>«</w:t>
      </w:r>
      <w:r w:rsidRPr="003B7B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Про порядок та норматив відрахування частини прибутку (доходу)  комунальних</w:t>
      </w:r>
    </w:p>
    <w:p w:rsidR="003B7B55" w:rsidRPr="003B7B55" w:rsidRDefault="003B7B55" w:rsidP="003B7B5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uk-UA" w:eastAsia="ru-RU"/>
        </w:rPr>
      </w:pPr>
      <w:r w:rsidRPr="003B7B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підприємств,  що вилучається до міського бюджету</w:t>
      </w:r>
      <w:r w:rsidRPr="003B7B5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uk-UA" w:eastAsia="ru-RU"/>
        </w:rPr>
        <w:t>».</w:t>
      </w:r>
    </w:p>
    <w:p w:rsidR="003B7B55" w:rsidRPr="003B7B55" w:rsidRDefault="003B7B55" w:rsidP="003B7B55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</w:pPr>
    </w:p>
    <w:p w:rsidR="003B7B55" w:rsidRP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</w:pPr>
      <w:r w:rsidRPr="003B7B5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val="uk-UA" w:eastAsia="ru-RU"/>
        </w:rPr>
        <w:t>Регуляторний орган: 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val="uk-UA" w:eastAsia="ru-RU"/>
        </w:rPr>
        <w:t>Сватівська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3B7B5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val="uk-UA" w:eastAsia="ru-RU"/>
        </w:rPr>
        <w:t>міська рада                        </w:t>
      </w:r>
    </w:p>
    <w:p w:rsidR="003B7B55" w:rsidRP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</w:pPr>
      <w:r w:rsidRPr="003B7B5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val="uk-UA" w:eastAsia="ru-RU"/>
        </w:rPr>
        <w:t>Розробник документа: 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val="uk-UA" w:eastAsia="ru-RU"/>
        </w:rPr>
        <w:t>Сватівська</w:t>
      </w:r>
      <w:r w:rsidRPr="003B7B5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val="uk-UA" w:eastAsia="ru-RU"/>
        </w:rPr>
        <w:t> міська рада</w:t>
      </w:r>
    </w:p>
    <w:p w:rsidR="003B7B55" w:rsidRP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</w:pP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Відповідальна особа: </w:t>
      </w:r>
      <w:r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 xml:space="preserve">провідний спеціаліст – юрист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Ачкасова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 xml:space="preserve"> С.О.</w:t>
      </w:r>
    </w:p>
    <w:p w:rsidR="003B7B55" w:rsidRP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</w:pP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Контактний телефон: </w:t>
      </w:r>
      <w:r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3-66-27</w:t>
      </w:r>
    </w:p>
    <w:p w:rsidR="003B7B55" w:rsidRPr="003B7B55" w:rsidRDefault="003B7B55" w:rsidP="003B7B55">
      <w:pPr>
        <w:shd w:val="clear" w:color="auto" w:fill="FFFFFF"/>
        <w:spacing w:after="0" w:line="240" w:lineRule="auto"/>
        <w:ind w:left="435"/>
        <w:jc w:val="both"/>
        <w:textAlignment w:val="baseline"/>
        <w:rPr>
          <w:rFonts w:ascii="Helvetica" w:eastAsia="Times New Roman" w:hAnsi="Helvetica" w:cs="Times New Roman"/>
          <w:b/>
          <w:i/>
          <w:color w:val="333333"/>
          <w:sz w:val="20"/>
          <w:szCs w:val="20"/>
          <w:lang w:val="uk-UA" w:eastAsia="ru-RU"/>
        </w:rPr>
      </w:pPr>
      <w:r w:rsidRPr="003B7B5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val="uk-UA" w:eastAsia="ru-RU"/>
        </w:rPr>
        <w:t>1.Опис проблеми, яку планується розв`язати шляхом державного регулювання.</w:t>
      </w:r>
    </w:p>
    <w:p w:rsidR="003B7B55" w:rsidRP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 xml:space="preserve">       Проект рішення Сватівської </w:t>
      </w: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 міської ради „ </w:t>
      </w:r>
      <w:r w:rsidRPr="003B7B5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Про порядок та норматив відрахування </w:t>
      </w:r>
    </w:p>
    <w:p w:rsidR="003B7B55" w:rsidRP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</w:pPr>
      <w:r w:rsidRPr="003B7B5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частини прибутку (доходу)  комунальних  підприємств,  що вилучається до міського бюджету</w:t>
      </w: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» є нормативно-правовим актом, який спрямований на правове регулювання відносин, що виникають при здійсненні відрахування частини чистого прибутку (доходу)  підприємств, установ, організацій, що перебувають у власності  територіальної громади</w:t>
      </w:r>
      <w:r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 xml:space="preserve"> </w:t>
      </w: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 </w:t>
      </w:r>
      <w:r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 xml:space="preserve">Сватівської </w:t>
      </w: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міської ради.</w:t>
      </w:r>
    </w:p>
    <w:p w:rsidR="003B7B55" w:rsidRP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</w:pP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        Рішенням передбачається створення механізму відрахування частини чистого прибутку (доходу) комунальних унітарних підприємств та їх об`єднань, згідно зі ст. 26 Закону України „Про місцеве самоврядування в Україні”, ст. 69 Бюджетного кодексу України, з врахуванням положень  Порядку відрахування до державного бюджету частини чистого прибутку (доходу) державними унітарними підприємствами та їх об’єднаннями, затвердженого постановою Кабінету Міністрів України від 23.02.2011 року № 138.</w:t>
      </w:r>
    </w:p>
    <w:p w:rsidR="003B7B55" w:rsidRP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i/>
          <w:color w:val="333333"/>
          <w:sz w:val="20"/>
          <w:szCs w:val="20"/>
          <w:lang w:val="uk-UA" w:eastAsia="ru-RU"/>
        </w:rPr>
      </w:pP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      </w:t>
      </w:r>
      <w:r w:rsidRPr="003B7B5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val="uk-UA" w:eastAsia="ru-RU"/>
        </w:rPr>
        <w:t xml:space="preserve"> 2.  Цілі державного регулювання.</w:t>
      </w:r>
    </w:p>
    <w:p w:rsidR="003B7B55" w:rsidRP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</w:pP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Метою прийняття цього рішення є:</w:t>
      </w:r>
    </w:p>
    <w:p w:rsidR="003B7B55" w:rsidRP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</w:pP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- встановлення порядку і нормативу відрахування частини чистого прибутку (доходу)  підприємств, установ, організацій, що перебувають у власності  територіальної громади </w:t>
      </w:r>
      <w:r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 xml:space="preserve"> Сватівської </w:t>
      </w: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міської ради.</w:t>
      </w:r>
    </w:p>
    <w:p w:rsidR="003B7B55" w:rsidRP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</w:pP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- забезпечення ефективного та цілеспрямованого використання прибутку комунальних підприємств,</w:t>
      </w:r>
    </w:p>
    <w:p w:rsidR="003B7B55" w:rsidRP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</w:pP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- покращення стану фінансування власних повноважень </w:t>
      </w:r>
      <w:r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 xml:space="preserve"> Сватівської</w:t>
      </w: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 міської ради.</w:t>
      </w:r>
    </w:p>
    <w:p w:rsidR="003B7B55" w:rsidRP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</w:pPr>
      <w:r w:rsidRPr="003B7B5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val="uk-UA" w:eastAsia="ru-RU"/>
        </w:rPr>
        <w:t>       3. Альтернатив запропонованому регуляторному акту немає</w:t>
      </w: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.</w:t>
      </w:r>
    </w:p>
    <w:p w:rsidR="003B7B55" w:rsidRPr="003B7B55" w:rsidRDefault="003B7B55" w:rsidP="009D5EC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</w:pP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 xml:space="preserve">       </w:t>
      </w:r>
      <w:r w:rsidRPr="003B7B5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val="uk-UA" w:eastAsia="ru-RU"/>
        </w:rPr>
        <w:t xml:space="preserve">4. Механізмом розв`язання проблеми </w:t>
      </w: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є затвердження Порядку і нормативу відрахування міськими комунальними підприємствами до міського бюджету частини чистого прибутку (доходу).</w:t>
      </w:r>
    </w:p>
    <w:p w:rsidR="003B7B55" w:rsidRP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i/>
          <w:color w:val="333333"/>
          <w:sz w:val="20"/>
          <w:szCs w:val="20"/>
          <w:lang w:val="uk-UA"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      </w:t>
      </w:r>
      <w:r w:rsidRPr="003B7B5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val="uk-UA" w:eastAsia="ru-RU"/>
        </w:rPr>
        <w:t>5. Обґрунтування можливості досягнення визначених цілей у разі прийняття регуляторного акта.</w:t>
      </w:r>
    </w:p>
    <w:p w:rsidR="003B7B55" w:rsidRP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</w:pP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     Рішення сприятиме формуванню умов для ефективного використання  комунального майна. Запропонований порядок враховує особливості організаційно-розпорядчих відносин, пов’язаних з  відрахуванням  частини чистого доходу комунальними підприємствами, що  вилучається до міського  бюджету, правові відносини між </w:t>
      </w:r>
      <w:r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 xml:space="preserve"> </w:t>
      </w: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 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Сватівською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 xml:space="preserve"> </w:t>
      </w: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 xml:space="preserve"> міською радою,  органами державного казначейства та державної </w:t>
      </w:r>
      <w:r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фіскальної служби</w:t>
      </w: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 xml:space="preserve"> при здійсненні відрахування  частини чистого прибутку (доходу) комунальних підприємств до бюджету</w:t>
      </w:r>
      <w:r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 xml:space="preserve"> </w:t>
      </w: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 </w:t>
      </w:r>
      <w:r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 xml:space="preserve">Сватівської </w:t>
      </w: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міської ради.</w:t>
      </w:r>
    </w:p>
    <w:p w:rsidR="003B7B55" w:rsidRPr="003B7B55" w:rsidRDefault="003B7B55" w:rsidP="003B7B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</w:pP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Запровадження зазначеного нормативного акта забезпечить досягнення поставленої мети.</w:t>
      </w:r>
    </w:p>
    <w:p w:rsidR="003B7B55" w:rsidRP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i/>
          <w:color w:val="333333"/>
          <w:sz w:val="20"/>
          <w:szCs w:val="20"/>
          <w:lang w:val="uk-UA" w:eastAsia="ru-RU"/>
        </w:rPr>
      </w:pP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 xml:space="preserve">           </w:t>
      </w:r>
      <w:r w:rsidRPr="003B7B5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val="uk-UA" w:eastAsia="ru-RU"/>
        </w:rPr>
        <w:t>6. Визначення очікуваних результатів прийняття рішення .</w:t>
      </w:r>
    </w:p>
    <w:p w:rsidR="003B7B55" w:rsidRP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</w:pP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Результатом прийняття регуляторного акту буде збільшення надходжень до  бюджету </w:t>
      </w:r>
      <w:r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 xml:space="preserve"> Сватівсько</w:t>
      </w: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ї міської ради та покращення стану фінансування власних повноважень</w:t>
      </w:r>
      <w:r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 xml:space="preserve"> </w:t>
      </w: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  </w:t>
      </w:r>
      <w:r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 xml:space="preserve">Сватівської </w:t>
      </w: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міської  ради.</w:t>
      </w:r>
    </w:p>
    <w:p w:rsidR="003B7B55" w:rsidRP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i/>
          <w:color w:val="333333"/>
          <w:sz w:val="20"/>
          <w:szCs w:val="20"/>
          <w:lang w:val="uk-UA" w:eastAsia="ru-RU"/>
        </w:rPr>
      </w:pP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 xml:space="preserve">       </w:t>
      </w:r>
      <w:r w:rsidRPr="003B7B5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val="uk-UA" w:eastAsia="ru-RU"/>
        </w:rPr>
        <w:t>7. Обґрунтування терміну дії.</w:t>
      </w:r>
    </w:p>
    <w:p w:rsid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</w:pP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       Термін дії рішення необмежений. Зміни та доповнення до нього можуть вноситись у разі змін  чинного законодавства.</w:t>
      </w:r>
    </w:p>
    <w:p w:rsid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</w:pPr>
    </w:p>
    <w:p w:rsid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</w:pPr>
    </w:p>
    <w:p w:rsid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</w:pPr>
    </w:p>
    <w:p w:rsid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</w:pPr>
    </w:p>
    <w:p w:rsid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</w:pPr>
    </w:p>
    <w:p w:rsidR="003B7B55" w:rsidRP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</w:pPr>
    </w:p>
    <w:p w:rsidR="003B7B55" w:rsidRP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i/>
          <w:color w:val="333333"/>
          <w:sz w:val="20"/>
          <w:szCs w:val="20"/>
          <w:lang w:val="uk-UA" w:eastAsia="ru-RU"/>
        </w:rPr>
      </w:pPr>
      <w:r w:rsidRPr="003B7B5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val="uk-UA" w:eastAsia="ru-RU"/>
        </w:rPr>
        <w:lastRenderedPageBreak/>
        <w:t>       8. Показники результативності регуляторного акта.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2925"/>
        <w:gridCol w:w="3648"/>
      </w:tblGrid>
      <w:tr w:rsidR="003B7B55" w:rsidRPr="003B7B55" w:rsidTr="003B7B55">
        <w:trPr>
          <w:trHeight w:val="540"/>
          <w:jc w:val="center"/>
        </w:trPr>
        <w:tc>
          <w:tcPr>
            <w:tcW w:w="2805" w:type="dxa"/>
            <w:tcBorders>
              <w:top w:val="single" w:sz="8" w:space="0" w:color="5C5C5D"/>
              <w:left w:val="single" w:sz="8" w:space="0" w:color="5C5C5D"/>
              <w:bottom w:val="single" w:sz="8" w:space="0" w:color="5C5C5D"/>
              <w:right w:val="single" w:sz="8" w:space="0" w:color="5C5C5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B7B55" w:rsidRPr="003B7B55" w:rsidRDefault="003B7B55" w:rsidP="003B7B5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uk-UA" w:eastAsia="ru-RU"/>
              </w:rPr>
            </w:pPr>
            <w:r w:rsidRPr="003B7B5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>Сфера впливу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C5C5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B7B55" w:rsidRPr="003B7B55" w:rsidRDefault="003B7B55" w:rsidP="003B7B5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uk-UA" w:eastAsia="ru-RU"/>
              </w:rPr>
            </w:pPr>
            <w:r w:rsidRPr="003B7B5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>Вигоди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C5C5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B7B55" w:rsidRPr="003B7B55" w:rsidRDefault="003B7B55" w:rsidP="003B7B5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uk-UA" w:eastAsia="ru-RU"/>
              </w:rPr>
            </w:pPr>
            <w:r w:rsidRPr="003B7B5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>Витрати</w:t>
            </w:r>
          </w:p>
        </w:tc>
      </w:tr>
      <w:tr w:rsidR="003B7B55" w:rsidRPr="003B7B55" w:rsidTr="003B7B55">
        <w:trPr>
          <w:trHeight w:val="825"/>
          <w:jc w:val="center"/>
        </w:trPr>
        <w:tc>
          <w:tcPr>
            <w:tcW w:w="2805" w:type="dxa"/>
            <w:tcBorders>
              <w:top w:val="nil"/>
              <w:left w:val="single" w:sz="8" w:space="0" w:color="5C5C5D"/>
              <w:bottom w:val="single" w:sz="8" w:space="0" w:color="auto"/>
              <w:right w:val="single" w:sz="8" w:space="0" w:color="5C5C5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B7B55" w:rsidRPr="003B7B55" w:rsidRDefault="003B7B55" w:rsidP="003B7B5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uk-UA" w:eastAsia="ru-RU"/>
              </w:rPr>
            </w:pPr>
            <w:r w:rsidRPr="003B7B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uk-UA" w:eastAsia="ru-RU"/>
              </w:rPr>
              <w:t>Для територіальної  громади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5C5C5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B7B55" w:rsidRPr="003B7B55" w:rsidRDefault="003B7B55" w:rsidP="003B7B5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uk-UA" w:eastAsia="ru-RU"/>
              </w:rPr>
            </w:pPr>
            <w:r w:rsidRPr="003B7B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uk-UA" w:eastAsia="ru-RU"/>
              </w:rPr>
              <w:t>Збільшення надходжень до місцевого бюджету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5C5C5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B7B55" w:rsidRPr="003B7B55" w:rsidRDefault="003B7B55" w:rsidP="003B7B5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uk-UA" w:eastAsia="ru-RU"/>
              </w:rPr>
            </w:pPr>
            <w:r w:rsidRPr="003B7B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3B7B55" w:rsidRPr="003B7B55" w:rsidTr="003B7B55">
        <w:trPr>
          <w:trHeight w:val="1481"/>
          <w:jc w:val="center"/>
        </w:trPr>
        <w:tc>
          <w:tcPr>
            <w:tcW w:w="2805" w:type="dxa"/>
            <w:tcBorders>
              <w:top w:val="nil"/>
              <w:left w:val="single" w:sz="8" w:space="0" w:color="5C5C5D"/>
              <w:bottom w:val="single" w:sz="8" w:space="0" w:color="auto"/>
              <w:right w:val="single" w:sz="8" w:space="0" w:color="5C5C5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B7B55" w:rsidRPr="003B7B55" w:rsidRDefault="003B7B55" w:rsidP="003B7B5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uk-UA" w:eastAsia="ru-RU"/>
              </w:rPr>
            </w:pPr>
            <w:r w:rsidRPr="003B7B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uk-UA" w:eastAsia="ru-RU"/>
              </w:rPr>
              <w:t>Для  суб’єктів господарювання комунальної форми власності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5C5C5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B7B55" w:rsidRPr="003B7B55" w:rsidRDefault="003B7B55" w:rsidP="003B7B5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uk-UA" w:eastAsia="ru-RU"/>
              </w:rPr>
            </w:pPr>
            <w:r w:rsidRPr="003B7B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uk-UA" w:eastAsia="ru-RU"/>
              </w:rPr>
              <w:t>Отримують прозорий механізм відносин щодо перерахування частини чистого прибутку до місцевого бюджету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5C5C5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B7B55" w:rsidRPr="003B7B55" w:rsidRDefault="003B7B55" w:rsidP="003B7B5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uk-UA" w:eastAsia="ru-RU"/>
              </w:rPr>
            </w:pPr>
            <w:r w:rsidRPr="003B7B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uk-UA" w:eastAsia="ru-RU"/>
              </w:rPr>
              <w:t>Комунальні підприємства сплачуватимуть до місцевого  бюджету частину чистого прибутку за результатами фінансово-господарської діяльності за квартал</w:t>
            </w:r>
          </w:p>
        </w:tc>
      </w:tr>
      <w:tr w:rsidR="003B7B55" w:rsidRPr="003B7B55" w:rsidTr="003B7B55">
        <w:trPr>
          <w:trHeight w:val="825"/>
          <w:jc w:val="center"/>
        </w:trPr>
        <w:tc>
          <w:tcPr>
            <w:tcW w:w="2805" w:type="dxa"/>
            <w:tcBorders>
              <w:top w:val="nil"/>
              <w:left w:val="single" w:sz="8" w:space="0" w:color="5C5C5D"/>
              <w:bottom w:val="single" w:sz="8" w:space="0" w:color="auto"/>
              <w:right w:val="single" w:sz="8" w:space="0" w:color="5C5C5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B7B55" w:rsidRPr="003B7B55" w:rsidRDefault="003B7B55" w:rsidP="003B7B5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uk-UA" w:eastAsia="ru-RU"/>
              </w:rPr>
            </w:pPr>
            <w:r w:rsidRPr="003B7B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uk-UA" w:eastAsia="ru-RU"/>
              </w:rPr>
              <w:t>Для органу місцевого самоврядування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5C5C5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B7B55" w:rsidRPr="003B7B55" w:rsidRDefault="003B7B55" w:rsidP="003B7B5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uk-UA" w:eastAsia="ru-RU"/>
              </w:rPr>
            </w:pPr>
            <w:r w:rsidRPr="003B7B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uk-UA" w:eastAsia="ru-RU"/>
              </w:rPr>
              <w:t>Наповнення  місцевого бюджету; ефективне використання майна, що перебуває у власності територіальної громади.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5C5C5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B7B55" w:rsidRPr="003B7B55" w:rsidRDefault="003B7B55" w:rsidP="003B7B5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uk-UA" w:eastAsia="ru-RU"/>
              </w:rPr>
            </w:pPr>
            <w:r w:rsidRPr="003B7B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uk-UA" w:eastAsia="ru-RU"/>
              </w:rPr>
              <w:t>Відсутні</w:t>
            </w:r>
          </w:p>
        </w:tc>
      </w:tr>
    </w:tbl>
    <w:p w:rsidR="003B7B55" w:rsidRP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</w:pP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 </w:t>
      </w:r>
    </w:p>
    <w:p w:rsidR="003B7B55" w:rsidRP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</w:pP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9. Відстеження результативності регуляторного акта буде проводитись згідно з Законом України „Про засади державної регуляторної політики у сфері господарської діяльності ”.</w:t>
      </w:r>
    </w:p>
    <w:p w:rsidR="003B7B55" w:rsidRP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</w:pPr>
      <w:r w:rsidRPr="003B7B55"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  <w:t> </w:t>
      </w:r>
    </w:p>
    <w:p w:rsidR="003B7B55" w:rsidRPr="003B7B55" w:rsidRDefault="003B7B55" w:rsidP="003B7B5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</w:pPr>
      <w:r w:rsidRPr="003B7B55"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 xml:space="preserve">Секретар ради                                                                                 </w:t>
      </w:r>
      <w:r>
        <w:rPr>
          <w:rFonts w:ascii="Verdana" w:eastAsia="Times New Roman" w:hAnsi="Verdana" w:cs="Times New Roman"/>
          <w:color w:val="333333"/>
          <w:sz w:val="20"/>
          <w:szCs w:val="20"/>
          <w:lang w:val="uk-UA" w:eastAsia="ru-RU"/>
        </w:rPr>
        <w:t>Д.Романенко</w:t>
      </w:r>
    </w:p>
    <w:p w:rsidR="003B7B55" w:rsidRPr="003B7B55" w:rsidRDefault="003B7B55" w:rsidP="003B7B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</w:pPr>
      <w:r w:rsidRPr="003B7B55">
        <w:rPr>
          <w:rFonts w:ascii="Helvetica" w:eastAsia="Times New Roman" w:hAnsi="Helvetica" w:cs="Times New Roman"/>
          <w:color w:val="333333"/>
          <w:sz w:val="20"/>
          <w:szCs w:val="20"/>
          <w:lang w:val="uk-UA" w:eastAsia="ru-RU"/>
        </w:rPr>
        <w:t> </w:t>
      </w:r>
    </w:p>
    <w:p w:rsidR="001B505F" w:rsidRPr="003B7B55" w:rsidRDefault="001B505F">
      <w:pPr>
        <w:rPr>
          <w:lang w:val="uk-UA"/>
        </w:rPr>
      </w:pPr>
    </w:p>
    <w:sectPr w:rsidR="001B505F" w:rsidRPr="003B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55"/>
    <w:rsid w:val="00006BD9"/>
    <w:rsid w:val="00014377"/>
    <w:rsid w:val="00033963"/>
    <w:rsid w:val="000557E6"/>
    <w:rsid w:val="00073CBE"/>
    <w:rsid w:val="00080400"/>
    <w:rsid w:val="0009333E"/>
    <w:rsid w:val="00096BF3"/>
    <w:rsid w:val="000B2BCC"/>
    <w:rsid w:val="000B4A1C"/>
    <w:rsid w:val="000B6A6A"/>
    <w:rsid w:val="000D1C01"/>
    <w:rsid w:val="000D27C3"/>
    <w:rsid w:val="000D5FC1"/>
    <w:rsid w:val="000D7AD4"/>
    <w:rsid w:val="000F4A49"/>
    <w:rsid w:val="000F526E"/>
    <w:rsid w:val="00102493"/>
    <w:rsid w:val="001075E2"/>
    <w:rsid w:val="00132517"/>
    <w:rsid w:val="001609F0"/>
    <w:rsid w:val="00161E10"/>
    <w:rsid w:val="001807A0"/>
    <w:rsid w:val="00182B45"/>
    <w:rsid w:val="00185A60"/>
    <w:rsid w:val="00191749"/>
    <w:rsid w:val="001924B1"/>
    <w:rsid w:val="001952B2"/>
    <w:rsid w:val="001A3C79"/>
    <w:rsid w:val="001B2F01"/>
    <w:rsid w:val="001B42B9"/>
    <w:rsid w:val="001B4826"/>
    <w:rsid w:val="001B505F"/>
    <w:rsid w:val="001D1B6F"/>
    <w:rsid w:val="001E24CF"/>
    <w:rsid w:val="001E26A1"/>
    <w:rsid w:val="001E43A9"/>
    <w:rsid w:val="001F07C5"/>
    <w:rsid w:val="001F3809"/>
    <w:rsid w:val="00210CB0"/>
    <w:rsid w:val="00212749"/>
    <w:rsid w:val="00224D53"/>
    <w:rsid w:val="002340DA"/>
    <w:rsid w:val="00234CA9"/>
    <w:rsid w:val="00242D58"/>
    <w:rsid w:val="002603AD"/>
    <w:rsid w:val="00261726"/>
    <w:rsid w:val="00267367"/>
    <w:rsid w:val="002725DD"/>
    <w:rsid w:val="002739C4"/>
    <w:rsid w:val="00285C1A"/>
    <w:rsid w:val="00287B50"/>
    <w:rsid w:val="00291465"/>
    <w:rsid w:val="00293E4F"/>
    <w:rsid w:val="002B16D8"/>
    <w:rsid w:val="002B7711"/>
    <w:rsid w:val="002D2414"/>
    <w:rsid w:val="002E2C3F"/>
    <w:rsid w:val="002F2C6A"/>
    <w:rsid w:val="002F44BC"/>
    <w:rsid w:val="002F691F"/>
    <w:rsid w:val="00302C76"/>
    <w:rsid w:val="0032377B"/>
    <w:rsid w:val="00324697"/>
    <w:rsid w:val="00326B98"/>
    <w:rsid w:val="0033389F"/>
    <w:rsid w:val="003462E2"/>
    <w:rsid w:val="00351D40"/>
    <w:rsid w:val="003613CD"/>
    <w:rsid w:val="003633A3"/>
    <w:rsid w:val="00366375"/>
    <w:rsid w:val="00371B74"/>
    <w:rsid w:val="003924A5"/>
    <w:rsid w:val="003A27CE"/>
    <w:rsid w:val="003A3224"/>
    <w:rsid w:val="003A55CE"/>
    <w:rsid w:val="003A5CE4"/>
    <w:rsid w:val="003A66CB"/>
    <w:rsid w:val="003B06F3"/>
    <w:rsid w:val="003B0EF4"/>
    <w:rsid w:val="003B27CB"/>
    <w:rsid w:val="003B7B55"/>
    <w:rsid w:val="003C2C8A"/>
    <w:rsid w:val="003C69DB"/>
    <w:rsid w:val="003C707B"/>
    <w:rsid w:val="003F6B50"/>
    <w:rsid w:val="003F6BC8"/>
    <w:rsid w:val="003F7A63"/>
    <w:rsid w:val="004011D4"/>
    <w:rsid w:val="004178A8"/>
    <w:rsid w:val="0042224C"/>
    <w:rsid w:val="00462E89"/>
    <w:rsid w:val="0046583C"/>
    <w:rsid w:val="00482E3E"/>
    <w:rsid w:val="00484E17"/>
    <w:rsid w:val="00492A6D"/>
    <w:rsid w:val="004A39E8"/>
    <w:rsid w:val="004B1530"/>
    <w:rsid w:val="004B22D7"/>
    <w:rsid w:val="004E1425"/>
    <w:rsid w:val="004E2464"/>
    <w:rsid w:val="005013F9"/>
    <w:rsid w:val="005065CA"/>
    <w:rsid w:val="00534954"/>
    <w:rsid w:val="0054041F"/>
    <w:rsid w:val="005446BE"/>
    <w:rsid w:val="00560D7A"/>
    <w:rsid w:val="0056491A"/>
    <w:rsid w:val="0057510F"/>
    <w:rsid w:val="00581076"/>
    <w:rsid w:val="00583F29"/>
    <w:rsid w:val="00584551"/>
    <w:rsid w:val="005B2E70"/>
    <w:rsid w:val="005C53FD"/>
    <w:rsid w:val="005D3B7E"/>
    <w:rsid w:val="005E0072"/>
    <w:rsid w:val="005E0085"/>
    <w:rsid w:val="005E0EEC"/>
    <w:rsid w:val="005E1B48"/>
    <w:rsid w:val="005E345C"/>
    <w:rsid w:val="005E3A83"/>
    <w:rsid w:val="005E5992"/>
    <w:rsid w:val="0060419C"/>
    <w:rsid w:val="00617B66"/>
    <w:rsid w:val="00622D78"/>
    <w:rsid w:val="006239C8"/>
    <w:rsid w:val="006310A7"/>
    <w:rsid w:val="00665EB6"/>
    <w:rsid w:val="00670449"/>
    <w:rsid w:val="006740A1"/>
    <w:rsid w:val="00683D23"/>
    <w:rsid w:val="006840C6"/>
    <w:rsid w:val="006875AE"/>
    <w:rsid w:val="00694231"/>
    <w:rsid w:val="00694A9C"/>
    <w:rsid w:val="0069667D"/>
    <w:rsid w:val="006B21CD"/>
    <w:rsid w:val="006B45A6"/>
    <w:rsid w:val="006B47CB"/>
    <w:rsid w:val="006B526C"/>
    <w:rsid w:val="006D1409"/>
    <w:rsid w:val="006D308A"/>
    <w:rsid w:val="006D6C40"/>
    <w:rsid w:val="006E2A25"/>
    <w:rsid w:val="006E2DEE"/>
    <w:rsid w:val="006E2FD7"/>
    <w:rsid w:val="00722F0E"/>
    <w:rsid w:val="0074795C"/>
    <w:rsid w:val="00781185"/>
    <w:rsid w:val="007912F9"/>
    <w:rsid w:val="0079402E"/>
    <w:rsid w:val="007B2547"/>
    <w:rsid w:val="007B45D6"/>
    <w:rsid w:val="007B5E32"/>
    <w:rsid w:val="007C4C27"/>
    <w:rsid w:val="007F0F20"/>
    <w:rsid w:val="00802A54"/>
    <w:rsid w:val="008130D0"/>
    <w:rsid w:val="00814DD2"/>
    <w:rsid w:val="00816920"/>
    <w:rsid w:val="0083087D"/>
    <w:rsid w:val="008315F5"/>
    <w:rsid w:val="008340B3"/>
    <w:rsid w:val="008343DE"/>
    <w:rsid w:val="00835211"/>
    <w:rsid w:val="00855846"/>
    <w:rsid w:val="00870561"/>
    <w:rsid w:val="00870DA6"/>
    <w:rsid w:val="008711A3"/>
    <w:rsid w:val="00883A38"/>
    <w:rsid w:val="00886F88"/>
    <w:rsid w:val="008A3CCC"/>
    <w:rsid w:val="008A6DFA"/>
    <w:rsid w:val="008B3948"/>
    <w:rsid w:val="008B3CE4"/>
    <w:rsid w:val="008C1B27"/>
    <w:rsid w:val="008C769A"/>
    <w:rsid w:val="008D0F45"/>
    <w:rsid w:val="008D4560"/>
    <w:rsid w:val="008E216F"/>
    <w:rsid w:val="008E41C2"/>
    <w:rsid w:val="008F2B98"/>
    <w:rsid w:val="00903E22"/>
    <w:rsid w:val="00905A61"/>
    <w:rsid w:val="009100BC"/>
    <w:rsid w:val="00917377"/>
    <w:rsid w:val="00933F64"/>
    <w:rsid w:val="00944C3D"/>
    <w:rsid w:val="00952C36"/>
    <w:rsid w:val="00961910"/>
    <w:rsid w:val="0096257A"/>
    <w:rsid w:val="0096343E"/>
    <w:rsid w:val="00964AA7"/>
    <w:rsid w:val="0098330A"/>
    <w:rsid w:val="00991148"/>
    <w:rsid w:val="009A098E"/>
    <w:rsid w:val="009A4DFB"/>
    <w:rsid w:val="009A5800"/>
    <w:rsid w:val="009B3BE7"/>
    <w:rsid w:val="009C3040"/>
    <w:rsid w:val="009C4C58"/>
    <w:rsid w:val="009C4CA2"/>
    <w:rsid w:val="009D0263"/>
    <w:rsid w:val="009D1F7B"/>
    <w:rsid w:val="009D2B3A"/>
    <w:rsid w:val="009D5EC7"/>
    <w:rsid w:val="009E6E02"/>
    <w:rsid w:val="009F1794"/>
    <w:rsid w:val="009F3ED4"/>
    <w:rsid w:val="00A059E0"/>
    <w:rsid w:val="00A06A79"/>
    <w:rsid w:val="00A173E2"/>
    <w:rsid w:val="00A23A57"/>
    <w:rsid w:val="00A25527"/>
    <w:rsid w:val="00A32E0E"/>
    <w:rsid w:val="00A33904"/>
    <w:rsid w:val="00A373AF"/>
    <w:rsid w:val="00A438A1"/>
    <w:rsid w:val="00A51ABF"/>
    <w:rsid w:val="00A62492"/>
    <w:rsid w:val="00A62505"/>
    <w:rsid w:val="00A62ACE"/>
    <w:rsid w:val="00A645CC"/>
    <w:rsid w:val="00A8329E"/>
    <w:rsid w:val="00A97B2A"/>
    <w:rsid w:val="00AA348F"/>
    <w:rsid w:val="00AA6FDC"/>
    <w:rsid w:val="00AC03F2"/>
    <w:rsid w:val="00AD621F"/>
    <w:rsid w:val="00AE7709"/>
    <w:rsid w:val="00AF42D9"/>
    <w:rsid w:val="00B12069"/>
    <w:rsid w:val="00B12390"/>
    <w:rsid w:val="00B1784D"/>
    <w:rsid w:val="00B2500E"/>
    <w:rsid w:val="00B47E47"/>
    <w:rsid w:val="00B57CB2"/>
    <w:rsid w:val="00B71C0F"/>
    <w:rsid w:val="00B775D1"/>
    <w:rsid w:val="00B83DC3"/>
    <w:rsid w:val="00BA191A"/>
    <w:rsid w:val="00BA4621"/>
    <w:rsid w:val="00BA5C9D"/>
    <w:rsid w:val="00BC065F"/>
    <w:rsid w:val="00BC2A7E"/>
    <w:rsid w:val="00BC6075"/>
    <w:rsid w:val="00BD03F7"/>
    <w:rsid w:val="00BD15A2"/>
    <w:rsid w:val="00BD17E0"/>
    <w:rsid w:val="00BE327B"/>
    <w:rsid w:val="00C02271"/>
    <w:rsid w:val="00C02EC0"/>
    <w:rsid w:val="00C066AD"/>
    <w:rsid w:val="00C41CD6"/>
    <w:rsid w:val="00C42C61"/>
    <w:rsid w:val="00C476D2"/>
    <w:rsid w:val="00C518A9"/>
    <w:rsid w:val="00C55932"/>
    <w:rsid w:val="00C8214B"/>
    <w:rsid w:val="00C86BBF"/>
    <w:rsid w:val="00C9223F"/>
    <w:rsid w:val="00CD17FB"/>
    <w:rsid w:val="00CF6CE2"/>
    <w:rsid w:val="00D00E2D"/>
    <w:rsid w:val="00D24517"/>
    <w:rsid w:val="00D27CAC"/>
    <w:rsid w:val="00D343C2"/>
    <w:rsid w:val="00D5034B"/>
    <w:rsid w:val="00D50A43"/>
    <w:rsid w:val="00D531C2"/>
    <w:rsid w:val="00D53A5F"/>
    <w:rsid w:val="00D641FE"/>
    <w:rsid w:val="00D823B4"/>
    <w:rsid w:val="00D83220"/>
    <w:rsid w:val="00D83D82"/>
    <w:rsid w:val="00D900E7"/>
    <w:rsid w:val="00D927BC"/>
    <w:rsid w:val="00D93256"/>
    <w:rsid w:val="00D9746E"/>
    <w:rsid w:val="00DA619B"/>
    <w:rsid w:val="00DB11A9"/>
    <w:rsid w:val="00DC5168"/>
    <w:rsid w:val="00DC715E"/>
    <w:rsid w:val="00DD1B69"/>
    <w:rsid w:val="00DD3416"/>
    <w:rsid w:val="00DD6D1D"/>
    <w:rsid w:val="00DE495F"/>
    <w:rsid w:val="00DE51F7"/>
    <w:rsid w:val="00DF074B"/>
    <w:rsid w:val="00DF5FA8"/>
    <w:rsid w:val="00E047F6"/>
    <w:rsid w:val="00E15C1E"/>
    <w:rsid w:val="00E222AE"/>
    <w:rsid w:val="00E23B58"/>
    <w:rsid w:val="00E453C5"/>
    <w:rsid w:val="00E50FDC"/>
    <w:rsid w:val="00E56EC4"/>
    <w:rsid w:val="00E61091"/>
    <w:rsid w:val="00E66C87"/>
    <w:rsid w:val="00E705EE"/>
    <w:rsid w:val="00E7505B"/>
    <w:rsid w:val="00E8136E"/>
    <w:rsid w:val="00E952A3"/>
    <w:rsid w:val="00EA53DE"/>
    <w:rsid w:val="00EB4663"/>
    <w:rsid w:val="00EC0676"/>
    <w:rsid w:val="00ED1762"/>
    <w:rsid w:val="00EE3812"/>
    <w:rsid w:val="00EE5235"/>
    <w:rsid w:val="00EE7669"/>
    <w:rsid w:val="00EF2FD7"/>
    <w:rsid w:val="00F22A10"/>
    <w:rsid w:val="00F374C6"/>
    <w:rsid w:val="00F47399"/>
    <w:rsid w:val="00F52B68"/>
    <w:rsid w:val="00F55FB5"/>
    <w:rsid w:val="00F633A4"/>
    <w:rsid w:val="00F662E9"/>
    <w:rsid w:val="00F67BCC"/>
    <w:rsid w:val="00F7396D"/>
    <w:rsid w:val="00F764D4"/>
    <w:rsid w:val="00F77475"/>
    <w:rsid w:val="00F83FF7"/>
    <w:rsid w:val="00F8487E"/>
    <w:rsid w:val="00FA0257"/>
    <w:rsid w:val="00FA3D64"/>
    <w:rsid w:val="00FC6FD5"/>
    <w:rsid w:val="00FD4886"/>
    <w:rsid w:val="00FE34AD"/>
    <w:rsid w:val="00FE7103"/>
    <w:rsid w:val="00FE739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18148-CA14-4936-88AB-E890293F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Lunev</cp:lastModifiedBy>
  <cp:revision>2</cp:revision>
  <dcterms:created xsi:type="dcterms:W3CDTF">2017-01-04T06:00:00Z</dcterms:created>
  <dcterms:modified xsi:type="dcterms:W3CDTF">2017-01-04T06:00:00Z</dcterms:modified>
</cp:coreProperties>
</file>